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3DBB79F3"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CB72B8">
        <w:rPr>
          <w:bCs/>
          <w:noProof w:val="0"/>
          <w:sz w:val="24"/>
          <w:szCs w:val="24"/>
        </w:rPr>
        <w:t>4</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8A4145">
        <w:rPr>
          <w:bCs/>
          <w:noProof w:val="0"/>
          <w:sz w:val="24"/>
          <w:szCs w:val="24"/>
        </w:rPr>
        <w:t>17193</w:t>
      </w:r>
    </w:p>
    <w:p w14:paraId="231362B2" w14:textId="27A2016B" w:rsidR="00CD4C7B" w:rsidRPr="00B266B0" w:rsidRDefault="00CB72B8" w:rsidP="00CD4C7B">
      <w:pPr>
        <w:pStyle w:val="Header"/>
        <w:tabs>
          <w:tab w:val="right" w:pos="9639"/>
        </w:tabs>
        <w:rPr>
          <w:bCs/>
          <w:noProof w:val="0"/>
          <w:sz w:val="24"/>
          <w:szCs w:val="24"/>
        </w:rPr>
      </w:pPr>
      <w:r>
        <w:rPr>
          <w:rFonts w:eastAsia="SimSun"/>
          <w:noProof w:val="0"/>
          <w:sz w:val="24"/>
          <w:szCs w:val="24"/>
          <w:lang w:eastAsia="zh-CN"/>
        </w:rPr>
        <w:t>Spokane, USA</w:t>
      </w:r>
      <w:r w:rsidR="008F396F" w:rsidRPr="008F396F">
        <w:rPr>
          <w:rFonts w:eastAsia="SimSun"/>
          <w:noProof w:val="0"/>
          <w:sz w:val="24"/>
          <w:szCs w:val="24"/>
          <w:lang w:eastAsia="zh-CN"/>
        </w:rPr>
        <w:t xml:space="preserve">, </w:t>
      </w:r>
      <w:r>
        <w:rPr>
          <w:rFonts w:eastAsia="SimSun"/>
          <w:noProof w:val="0"/>
          <w:sz w:val="24"/>
          <w:szCs w:val="24"/>
          <w:lang w:eastAsia="zh-CN"/>
        </w:rPr>
        <w:t>12</w:t>
      </w:r>
      <w:r w:rsidR="008F396F" w:rsidRPr="008F396F">
        <w:rPr>
          <w:rFonts w:eastAsia="SimSun"/>
          <w:noProof w:val="0"/>
          <w:sz w:val="24"/>
          <w:szCs w:val="24"/>
          <w:lang w:eastAsia="zh-CN"/>
        </w:rPr>
        <w:t xml:space="preserve"> - </w:t>
      </w:r>
      <w:r>
        <w:rPr>
          <w:rFonts w:eastAsia="SimSun"/>
          <w:noProof w:val="0"/>
          <w:sz w:val="24"/>
          <w:szCs w:val="24"/>
          <w:lang w:eastAsia="zh-CN"/>
        </w:rPr>
        <w:t>16</w:t>
      </w:r>
      <w:r w:rsidR="008F396F" w:rsidRPr="008F396F">
        <w:rPr>
          <w:rFonts w:eastAsia="SimSun"/>
          <w:noProof w:val="0"/>
          <w:sz w:val="24"/>
          <w:szCs w:val="24"/>
          <w:lang w:eastAsia="zh-CN"/>
        </w:rPr>
        <w:t xml:space="preserve"> </w:t>
      </w:r>
      <w:r>
        <w:rPr>
          <w:rFonts w:eastAsia="SimSun"/>
          <w:noProof w:val="0"/>
          <w:sz w:val="24"/>
          <w:szCs w:val="24"/>
          <w:lang w:eastAsia="zh-CN"/>
        </w:rPr>
        <w:t>November</w:t>
      </w:r>
      <w:r w:rsidR="008F396F" w:rsidRPr="008F396F">
        <w:rPr>
          <w:rFonts w:eastAsia="SimSun"/>
          <w:noProof w:val="0"/>
          <w:sz w:val="24"/>
          <w:szCs w:val="24"/>
          <w:lang w:eastAsia="zh-CN"/>
        </w:rPr>
        <w:t xml:space="preserve">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DB59AA0"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A4145">
        <w:rPr>
          <w:rFonts w:cs="Arial"/>
          <w:b/>
          <w:bCs/>
          <w:sz w:val="24"/>
        </w:rPr>
        <w:t>11.2.2.2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641101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E6821">
        <w:rPr>
          <w:rFonts w:ascii="Arial" w:hAnsi="Arial" w:cs="Arial"/>
          <w:b/>
          <w:bCs/>
          <w:sz w:val="24"/>
        </w:rPr>
        <w:t>Available tools for PCI confusion and collision</w:t>
      </w:r>
      <w:r w:rsidR="00D27605">
        <w:rPr>
          <w:rFonts w:ascii="Arial" w:hAnsi="Arial" w:cs="Arial"/>
          <w:b/>
          <w:bCs/>
          <w:sz w:val="24"/>
        </w:rPr>
        <w:t xml:space="preserve"> in NR-U</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6D8641B6" w14:textId="31BF17C8" w:rsidR="009A63EF" w:rsidRDefault="00C56C04" w:rsidP="00CD4C7B">
      <w:r>
        <w:t>The work on the Study Item for NR in unlicensed band has star</w:t>
      </w:r>
      <w:r w:rsidR="004D330B">
        <w:t>ted</w:t>
      </w:r>
      <w:r>
        <w:t xml:space="preserve">. </w:t>
      </w:r>
      <w:r w:rsidR="00E21D19">
        <w:t>Mobility</w:t>
      </w:r>
      <w:r w:rsidR="007916D2">
        <w:t xml:space="preserve"> in unlicensed</w:t>
      </w:r>
      <w:r w:rsidR="00E21D19">
        <w:t xml:space="preserve">, including </w:t>
      </w:r>
      <w:r>
        <w:t xml:space="preserve">Idle mode </w:t>
      </w:r>
      <w:r w:rsidR="00E21D19">
        <w:t xml:space="preserve">and Connected mode </w:t>
      </w:r>
      <w:r>
        <w:t>behaviour</w:t>
      </w:r>
      <w:r w:rsidR="007916D2">
        <w:t xml:space="preserve">, </w:t>
      </w:r>
      <w:r>
        <w:t>is being discussed an</w:t>
      </w:r>
      <w:r w:rsidR="004D330B">
        <w:t>d</w:t>
      </w:r>
      <w:r>
        <w:t xml:space="preserve"> the question of PCI allocation, PCI confusion and collision has been raised.</w:t>
      </w:r>
    </w:p>
    <w:p w14:paraId="0CE99844" w14:textId="004ABF9A" w:rsidR="00C56C04" w:rsidRDefault="00C56C04" w:rsidP="00CD4C7B">
      <w:r>
        <w:t>This contribution will review the existing tools for the above problems and proposes a way forward for NR-U.</w:t>
      </w:r>
    </w:p>
    <w:p w14:paraId="127ACA6D" w14:textId="324AB339" w:rsidR="00CD4C7B" w:rsidRPr="006E13D1" w:rsidRDefault="00CD4C7B" w:rsidP="00CD4C7B">
      <w:pPr>
        <w:pStyle w:val="Heading1"/>
      </w:pPr>
      <w:r w:rsidRPr="006E13D1">
        <w:t>2</w:t>
      </w:r>
      <w:r w:rsidRPr="006E13D1">
        <w:tab/>
      </w:r>
      <w:r w:rsidR="004673C9">
        <w:t>PCI allocation</w:t>
      </w:r>
      <w:r w:rsidR="004D330B">
        <w:t xml:space="preserve"> and detection</w:t>
      </w:r>
    </w:p>
    <w:p w14:paraId="72EC93DC" w14:textId="7D93002B" w:rsidR="0008062E" w:rsidRDefault="007D7493" w:rsidP="004D330B">
      <w:pPr>
        <w:pStyle w:val="Heading2"/>
      </w:pPr>
      <w:r>
        <w:t>2</w:t>
      </w:r>
      <w:r w:rsidR="0008062E" w:rsidRPr="006E13D1">
        <w:t>.1</w:t>
      </w:r>
      <w:r w:rsidR="0008062E" w:rsidRPr="006E13D1">
        <w:tab/>
      </w:r>
      <w:r w:rsidR="004D330B">
        <w:t>Introduction</w:t>
      </w:r>
    </w:p>
    <w:p w14:paraId="155EEEF7" w14:textId="5C898462" w:rsidR="00F955F7" w:rsidRDefault="004673C9" w:rsidP="00CD4C7B">
      <w:r>
        <w:t>It is expected that NR-U will us</w:t>
      </w:r>
      <w:r w:rsidR="00885872">
        <w:t>e similar</w:t>
      </w:r>
      <w:r>
        <w:t xml:space="preserve"> </w:t>
      </w:r>
      <w:r w:rsidR="00F955F7" w:rsidRPr="00F955F7">
        <w:t>Synchronization Signals / PBCH block</w:t>
      </w:r>
      <w:r w:rsidR="00F955F7">
        <w:t xml:space="preserve">, (SSB) </w:t>
      </w:r>
      <w:r>
        <w:t xml:space="preserve">as Rel-15 NR, </w:t>
      </w:r>
      <w:r w:rsidR="00F955F7">
        <w:t xml:space="preserve">for </w:t>
      </w:r>
      <w:r w:rsidR="00885872">
        <w:t xml:space="preserve">cell </w:t>
      </w:r>
      <w:r w:rsidR="00F955F7">
        <w:t>discovery, synchronization and for the broadcast of MIB.</w:t>
      </w:r>
      <w:r w:rsidR="00885872">
        <w:t xml:space="preserve"> </w:t>
      </w:r>
      <w:r w:rsidR="00F955F7">
        <w:t>Each SSB is associated with a PCI, (0…1007) in NR and it is expected that NR-U will use the same number of PCI.</w:t>
      </w:r>
      <w:bookmarkStart w:id="0" w:name="_GoBack"/>
      <w:r w:rsidR="00302AD1" w:rsidRPr="00302AD1">
        <w:t xml:space="preserve"> </w:t>
      </w:r>
      <w:bookmarkEnd w:id="0"/>
      <w:r w:rsidR="00302AD1">
        <w:t>If the PCI are chosen randomly, it decreases the risk of collision and confusion.</w:t>
      </w:r>
    </w:p>
    <w:p w14:paraId="4EDDD7E5" w14:textId="41AA940A" w:rsidR="00E953B9" w:rsidRDefault="00E953B9" w:rsidP="00CD4C7B">
      <w:r>
        <w:t xml:space="preserve">We also expect that, when switched on, a new base station will scan its </w:t>
      </w:r>
      <w:r w:rsidR="00D27605">
        <w:t xml:space="preserve">surroundings and can detect cells that are already present. Doing this, the new base station will avoid </w:t>
      </w:r>
      <w:r w:rsidR="00AC52AE">
        <w:t>choosing</w:t>
      </w:r>
      <w:r w:rsidR="00D27605">
        <w:t xml:space="preserve"> a PCI</w:t>
      </w:r>
      <w:r w:rsidR="00AC52AE">
        <w:t xml:space="preserve"> that is already used by neighbouring cell.</w:t>
      </w:r>
    </w:p>
    <w:p w14:paraId="56731153" w14:textId="773B9F4B" w:rsidR="00227F5D" w:rsidRDefault="00227F5D" w:rsidP="00227F5D">
      <w:pPr>
        <w:rPr>
          <w:b/>
        </w:rPr>
      </w:pPr>
      <w:r w:rsidRPr="00F070E1">
        <w:rPr>
          <w:b/>
        </w:rPr>
        <w:t>Observation</w:t>
      </w:r>
      <w:r>
        <w:rPr>
          <w:b/>
        </w:rPr>
        <w:t xml:space="preserve"> 1</w:t>
      </w:r>
      <w:r w:rsidRPr="00F070E1">
        <w:rPr>
          <w:b/>
        </w:rPr>
        <w:t>:</w:t>
      </w:r>
      <w:r>
        <w:rPr>
          <w:b/>
        </w:rPr>
        <w:t xml:space="preserve"> gNB are expected to scan their frequency at switch on and identify neighbour cells’</w:t>
      </w:r>
      <w:r w:rsidR="00E52A97">
        <w:rPr>
          <w:b/>
        </w:rPr>
        <w:t xml:space="preserve"> </w:t>
      </w:r>
      <w:r>
        <w:rPr>
          <w:b/>
        </w:rPr>
        <w:t>PCI</w:t>
      </w:r>
      <w:r w:rsidR="007916D2">
        <w:rPr>
          <w:b/>
        </w:rPr>
        <w:t>.</w:t>
      </w:r>
    </w:p>
    <w:p w14:paraId="74AC2365" w14:textId="00C6B8F7" w:rsidR="007916D2" w:rsidRPr="001B4530" w:rsidRDefault="007916D2" w:rsidP="00227F5D">
      <w:r>
        <w:t>Based on this observation</w:t>
      </w:r>
      <w:r w:rsidR="00644CAD">
        <w:t xml:space="preserve">, PCI confusion or </w:t>
      </w:r>
      <w:r>
        <w:t>collisions may only occur in case of hidden nodes. In this perspective, it should be noticed that the hidden node probability for PCI confusion should be lower that the hidden node probability for case of channel access – since a gNB may be able to detect the PCI used by a neighbour cell even if the received power from the corresponding cell is below the ED threshold used for CCA.</w:t>
      </w:r>
    </w:p>
    <w:p w14:paraId="57C9AE13" w14:textId="3CCEA690" w:rsidR="00B460D9" w:rsidRDefault="00B460D9" w:rsidP="00BB3168">
      <w:pPr>
        <w:pStyle w:val="Heading2"/>
      </w:pPr>
      <w:r>
        <w:t>2.2</w:t>
      </w:r>
      <w:r w:rsidRPr="006E13D1">
        <w:tab/>
      </w:r>
      <w:r>
        <w:t>SMTC</w:t>
      </w:r>
      <w:r w:rsidR="00686881">
        <w:t xml:space="preserve"> / DMTC</w:t>
      </w:r>
    </w:p>
    <w:p w14:paraId="2BA108C2" w14:textId="2650A066" w:rsidR="007916D2" w:rsidRDefault="00F955F7" w:rsidP="00CD4C7B">
      <w:r>
        <w:t>We also expect that the SMTC concept from NR is adapted to NR-U</w:t>
      </w:r>
      <w:r w:rsidR="00AC52AE">
        <w:t xml:space="preserve"> for the discovery and measurement of SSB</w:t>
      </w:r>
      <w:r w:rsidR="00A95436">
        <w:t xml:space="preserve">. </w:t>
      </w:r>
      <w:r w:rsidR="00E52A97">
        <w:t>This window</w:t>
      </w:r>
      <w:r w:rsidR="00A95436">
        <w:t xml:space="preserve"> will </w:t>
      </w:r>
      <w:r>
        <w:t xml:space="preserve">take into account the fact that </w:t>
      </w:r>
      <w:r w:rsidR="00BB3168">
        <w:t>LBT may block the transmission of SSB</w:t>
      </w:r>
      <w:r w:rsidR="00AC52AE">
        <w:t xml:space="preserve"> in </w:t>
      </w:r>
      <w:r w:rsidR="003519B9">
        <w:t>d</w:t>
      </w:r>
      <w:r w:rsidR="00AC52AE">
        <w:t>ownlink</w:t>
      </w:r>
      <w:r w:rsidR="00BB3168">
        <w:t>.</w:t>
      </w:r>
      <w:r w:rsidR="00806CBA">
        <w:t xml:space="preserve"> </w:t>
      </w:r>
      <w:r w:rsidR="00BB3168">
        <w:t xml:space="preserve">Because UE will only look for neighbour cells within the dedicated transmission period, this </w:t>
      </w:r>
      <w:r w:rsidR="00644CAD">
        <w:t xml:space="preserve">further </w:t>
      </w:r>
      <w:r w:rsidR="00BB3168">
        <w:t xml:space="preserve">limits the risk of PCI confusion </w:t>
      </w:r>
      <w:r w:rsidR="00644CAD">
        <w:t xml:space="preserve">in synchronous network deployments, i.e. in cases </w:t>
      </w:r>
      <w:r w:rsidR="007916D2">
        <w:t xml:space="preserve">the Radio Frame boundaries </w:t>
      </w:r>
      <w:r w:rsidR="00644CAD">
        <w:t xml:space="preserve">are </w:t>
      </w:r>
      <w:r w:rsidR="007916D2">
        <w:t>the same for all cells</w:t>
      </w:r>
      <w:r w:rsidR="00644CAD" w:rsidRPr="00644CAD">
        <w:t xml:space="preserve"> </w:t>
      </w:r>
      <w:r w:rsidR="00644CAD">
        <w:t xml:space="preserve">belonging to the same operator. </w:t>
      </w:r>
    </w:p>
    <w:p w14:paraId="7CEE6A88" w14:textId="4BB8D73F" w:rsidR="00153035" w:rsidRDefault="00C47B99" w:rsidP="00CD4C7B">
      <w:r w:rsidRPr="00F070E1">
        <w:rPr>
          <w:b/>
        </w:rPr>
        <w:t>Observation</w:t>
      </w:r>
      <w:r w:rsidR="00227F5D">
        <w:rPr>
          <w:b/>
        </w:rPr>
        <w:t xml:space="preserve"> 2</w:t>
      </w:r>
      <w:r w:rsidRPr="00F070E1">
        <w:rPr>
          <w:b/>
        </w:rPr>
        <w:t>:</w:t>
      </w:r>
      <w:r>
        <w:rPr>
          <w:b/>
        </w:rPr>
        <w:t xml:space="preserve"> </w:t>
      </w:r>
      <w:r w:rsidR="00644CAD">
        <w:rPr>
          <w:b/>
        </w:rPr>
        <w:t>The t</w:t>
      </w:r>
      <w:r>
        <w:rPr>
          <w:b/>
        </w:rPr>
        <w:t>ime window that UE will use to discover cells will limit the risk of unwanted PCI to be detected.</w:t>
      </w:r>
    </w:p>
    <w:p w14:paraId="7182BCA0" w14:textId="62766F52" w:rsidR="007D7493" w:rsidRPr="007D7493" w:rsidRDefault="00BB3168" w:rsidP="00BB3168">
      <w:pPr>
        <w:pStyle w:val="Heading2"/>
      </w:pPr>
      <w:r>
        <w:t>2.3</w:t>
      </w:r>
      <w:r w:rsidR="0008062E" w:rsidRPr="006E13D1">
        <w:tab/>
      </w:r>
      <w:r w:rsidR="007D7493">
        <w:t>ANR</w:t>
      </w:r>
    </w:p>
    <w:p w14:paraId="441DFE35" w14:textId="4D67A2F1" w:rsidR="00AC52AE" w:rsidRDefault="007D7493" w:rsidP="007D7493">
      <w:r>
        <w:t>NR</w:t>
      </w:r>
      <w:r w:rsidR="007916D2">
        <w:t xml:space="preserve"> </w:t>
      </w:r>
      <w:r>
        <w:t>Rel</w:t>
      </w:r>
      <w:r w:rsidR="00C875D2">
        <w:t>-</w:t>
      </w:r>
      <w:r>
        <w:t>15 already proposes ANR functionality</w:t>
      </w:r>
      <w:r w:rsidR="00AC52AE">
        <w:t xml:space="preserve">, as </w:t>
      </w:r>
      <w:r w:rsidR="00885872">
        <w:t xml:space="preserve">described in [1]. </w:t>
      </w:r>
      <w:r>
        <w:t xml:space="preserve">It </w:t>
      </w:r>
      <w:r w:rsidR="001269C5">
        <w:t xml:space="preserve">is </w:t>
      </w:r>
      <w:r>
        <w:t xml:space="preserve">possible for a serving gNB to ask a UE to retrieve the SIB1 of a </w:t>
      </w:r>
      <w:r w:rsidR="00885872">
        <w:t>neighbouring</w:t>
      </w:r>
      <w:r>
        <w:t xml:space="preserve"> cell. </w:t>
      </w:r>
      <w:r w:rsidR="00AC52AE">
        <w:t>The UE will report, among other information the NCGI and PLMN of the cell.</w:t>
      </w:r>
    </w:p>
    <w:p w14:paraId="72872D45" w14:textId="1BE2DBCF" w:rsidR="00AC52AE" w:rsidRDefault="00AC52AE" w:rsidP="007D7493">
      <w:r>
        <w:t>If a gNB is not sure about the identity of a cell that</w:t>
      </w:r>
      <w:r w:rsidR="001269C5">
        <w:t xml:space="preserve"> a </w:t>
      </w:r>
      <w:r>
        <w:t xml:space="preserve">UE reports, </w:t>
      </w:r>
      <w:r w:rsidR="00D54765">
        <w:t xml:space="preserve">it can ask </w:t>
      </w:r>
      <w:r w:rsidR="001269C5">
        <w:t xml:space="preserve">the </w:t>
      </w:r>
      <w:r w:rsidR="00D54765">
        <w:t>UE to read the SIB1 of this cell and report its PLMN and NCG</w:t>
      </w:r>
      <w:r w:rsidR="00BE0746">
        <w:t>I</w:t>
      </w:r>
      <w:r w:rsidR="00820F33">
        <w:t>. Doing this the gNB can determine:</w:t>
      </w:r>
    </w:p>
    <w:p w14:paraId="38D91138" w14:textId="03746B05" w:rsidR="00820F33" w:rsidRDefault="00820F33" w:rsidP="001B4530">
      <w:pPr>
        <w:pStyle w:val="B1"/>
        <w:numPr>
          <w:ilvl w:val="0"/>
          <w:numId w:val="5"/>
        </w:numPr>
      </w:pPr>
      <w:r>
        <w:t>If the Cell belongs to the same PLMN</w:t>
      </w:r>
    </w:p>
    <w:p w14:paraId="7E981FBF" w14:textId="77777777" w:rsidR="001269C5" w:rsidRDefault="00820F33" w:rsidP="001B4530">
      <w:pPr>
        <w:pStyle w:val="B1"/>
        <w:numPr>
          <w:ilvl w:val="0"/>
          <w:numId w:val="5"/>
        </w:numPr>
      </w:pPr>
      <w:r>
        <w:t xml:space="preserve">What is the NCGI of the cell. </w:t>
      </w:r>
    </w:p>
    <w:p w14:paraId="243A58AA" w14:textId="037A1C30" w:rsidR="00820F33" w:rsidRDefault="00820F33" w:rsidP="001B4530">
      <w:pPr>
        <w:pStyle w:val="B1"/>
        <w:ind w:left="0" w:firstLine="0"/>
      </w:pPr>
      <w:r>
        <w:t xml:space="preserve">And </w:t>
      </w:r>
      <w:r w:rsidR="00C47B99">
        <w:t>thus,</w:t>
      </w:r>
      <w:r>
        <w:t xml:space="preserve"> distinguish from another cell with same PCI if any.</w:t>
      </w:r>
    </w:p>
    <w:p w14:paraId="57E5F14C" w14:textId="459B9294" w:rsidR="0000179F" w:rsidRPr="007D7493" w:rsidRDefault="00C47B99" w:rsidP="007D7493">
      <w:r w:rsidRPr="001B4530">
        <w:rPr>
          <w:b/>
        </w:rPr>
        <w:t>Observation</w:t>
      </w:r>
      <w:r w:rsidR="00227F5D">
        <w:rPr>
          <w:b/>
        </w:rPr>
        <w:t xml:space="preserve"> 3</w:t>
      </w:r>
      <w:r w:rsidRPr="001B4530">
        <w:rPr>
          <w:b/>
        </w:rPr>
        <w:t xml:space="preserve">: </w:t>
      </w:r>
      <w:r>
        <w:rPr>
          <w:b/>
        </w:rPr>
        <w:t>ANR will be available for NR-</w:t>
      </w:r>
      <w:r w:rsidR="00E52A97">
        <w:rPr>
          <w:b/>
        </w:rPr>
        <w:t>U and</w:t>
      </w:r>
      <w:r>
        <w:rPr>
          <w:b/>
        </w:rPr>
        <w:t xml:space="preserve"> will help for PCI de-ambiguation.</w:t>
      </w:r>
    </w:p>
    <w:p w14:paraId="4EB6D0F8" w14:textId="6E24A102" w:rsidR="00C875D2" w:rsidRDefault="00C875D2" w:rsidP="00C875D2">
      <w:pPr>
        <w:pStyle w:val="Heading2"/>
      </w:pPr>
      <w:r>
        <w:t>2.4</w:t>
      </w:r>
      <w:r w:rsidRPr="006E13D1">
        <w:tab/>
      </w:r>
      <w:r>
        <w:t>Conclusion</w:t>
      </w:r>
    </w:p>
    <w:p w14:paraId="17CCE16A" w14:textId="6F1F5AF7" w:rsidR="00227F5D" w:rsidRDefault="00C875D2" w:rsidP="0000179F">
      <w:r>
        <w:t xml:space="preserve">We have listed </w:t>
      </w:r>
      <w:r w:rsidR="008A4145">
        <w:t>legacy</w:t>
      </w:r>
      <w:r>
        <w:t xml:space="preserve"> </w:t>
      </w:r>
      <w:r w:rsidR="008A4145">
        <w:t>mechanisms</w:t>
      </w:r>
      <w:r>
        <w:t xml:space="preserve"> that allow the gNB NR-U gNB to cope with PCI confusion and collision. </w:t>
      </w:r>
      <w:r w:rsidR="008A4145">
        <w:t>Our view is that these mechanisms are enough to cope with PCI confusion and collision, thus we think that there is no</w:t>
      </w:r>
      <w:r w:rsidR="00227F5D">
        <w:t xml:space="preserve"> need for new feature</w:t>
      </w:r>
      <w:r w:rsidR="008A4145">
        <w:t>s</w:t>
      </w:r>
      <w:r w:rsidR="00227F5D">
        <w:t xml:space="preserve"> for PCI allocation for NR-U at this point. </w:t>
      </w:r>
      <w:r>
        <w:t>Of course,</w:t>
      </w:r>
      <w:r w:rsidR="005A5CEF">
        <w:t xml:space="preserve"> if</w:t>
      </w:r>
      <w:r>
        <w:t xml:space="preserve"> specific issues </w:t>
      </w:r>
      <w:r w:rsidR="005A5CEF">
        <w:t>appear</w:t>
      </w:r>
      <w:r>
        <w:t>, some study will be necessary and specific solution may be needed.</w:t>
      </w:r>
    </w:p>
    <w:p w14:paraId="3884F67D" w14:textId="266C0B05" w:rsidR="00CD4C7B" w:rsidRPr="006E13D1" w:rsidRDefault="00227F5D" w:rsidP="001B49C9">
      <w:bookmarkStart w:id="1" w:name="_Hlk528843763"/>
      <w:r w:rsidRPr="001B4530">
        <w:rPr>
          <w:b/>
        </w:rPr>
        <w:t xml:space="preserve">Proposal: No new </w:t>
      </w:r>
      <w:r w:rsidR="008A4145">
        <w:rPr>
          <w:b/>
        </w:rPr>
        <w:t>mechanisms</w:t>
      </w:r>
      <w:r w:rsidRPr="001B4530">
        <w:rPr>
          <w:b/>
        </w:rPr>
        <w:t xml:space="preserve"> for PCI allocation</w:t>
      </w:r>
      <w:r w:rsidR="001B4530">
        <w:rPr>
          <w:b/>
        </w:rPr>
        <w:t>, PCI collision and confusion</w:t>
      </w:r>
      <w:r w:rsidRPr="001B4530">
        <w:rPr>
          <w:b/>
        </w:rPr>
        <w:t xml:space="preserve"> </w:t>
      </w:r>
      <w:r w:rsidR="008A4145">
        <w:rPr>
          <w:b/>
        </w:rPr>
        <w:t xml:space="preserve">are specified </w:t>
      </w:r>
      <w:r w:rsidRPr="001B4530">
        <w:rPr>
          <w:b/>
        </w:rPr>
        <w:t xml:space="preserve">for NR-U </w:t>
      </w:r>
      <w:r w:rsidR="008A4145">
        <w:rPr>
          <w:b/>
        </w:rPr>
        <w:t>in Rel-16</w:t>
      </w:r>
      <w:r w:rsidR="001B4530">
        <w:t>.</w:t>
      </w:r>
      <w:bookmarkEnd w:id="1"/>
    </w:p>
    <w:p w14:paraId="43A12B72" w14:textId="0D2B6F74" w:rsidR="00CD4C7B" w:rsidRPr="006E13D1" w:rsidRDefault="00AB6C89" w:rsidP="00CD4C7B">
      <w:pPr>
        <w:pStyle w:val="Heading1"/>
      </w:pPr>
      <w:r>
        <w:t>3</w:t>
      </w:r>
      <w:r w:rsidR="00CD4C7B" w:rsidRPr="006E13D1">
        <w:tab/>
      </w:r>
      <w:r w:rsidR="00C875D2">
        <w:t>Proposals</w:t>
      </w:r>
    </w:p>
    <w:p w14:paraId="00CABEC9" w14:textId="108E07A0" w:rsidR="00DF7F4B" w:rsidRPr="001B4530" w:rsidRDefault="00DF7F4B" w:rsidP="00CD4C7B">
      <w:r w:rsidRPr="001B4530">
        <w:t xml:space="preserve">In this contribution, we </w:t>
      </w:r>
      <w:r w:rsidR="00806CBA" w:rsidRPr="001B4530">
        <w:t>made the following observations and proposals:</w:t>
      </w:r>
    </w:p>
    <w:p w14:paraId="34A9A07D" w14:textId="77777777" w:rsidR="003519B9" w:rsidRDefault="003519B9" w:rsidP="003519B9">
      <w:pPr>
        <w:rPr>
          <w:b/>
        </w:rPr>
      </w:pPr>
      <w:r w:rsidRPr="00F070E1">
        <w:rPr>
          <w:b/>
        </w:rPr>
        <w:t>Observation</w:t>
      </w:r>
      <w:r>
        <w:rPr>
          <w:b/>
        </w:rPr>
        <w:t xml:space="preserve"> 1</w:t>
      </w:r>
      <w:r w:rsidRPr="00F070E1">
        <w:rPr>
          <w:b/>
        </w:rPr>
        <w:t>:</w:t>
      </w:r>
      <w:r>
        <w:rPr>
          <w:b/>
        </w:rPr>
        <w:t xml:space="preserve"> gNB are expected to scan their frequency at switch on and identify neighbour cells’ PCI.</w:t>
      </w:r>
    </w:p>
    <w:p w14:paraId="51842F1A" w14:textId="77777777" w:rsidR="003519B9" w:rsidRDefault="003519B9" w:rsidP="003519B9">
      <w:r w:rsidRPr="00F070E1">
        <w:rPr>
          <w:b/>
        </w:rPr>
        <w:t>Observation</w:t>
      </w:r>
      <w:r>
        <w:rPr>
          <w:b/>
        </w:rPr>
        <w:t xml:space="preserve"> 2</w:t>
      </w:r>
      <w:r w:rsidRPr="00F070E1">
        <w:rPr>
          <w:b/>
        </w:rPr>
        <w:t>:</w:t>
      </w:r>
      <w:r>
        <w:rPr>
          <w:b/>
        </w:rPr>
        <w:t xml:space="preserve"> The time window that UE will use to discover cells will limit the risk of unwanted PCI to be detected.</w:t>
      </w:r>
    </w:p>
    <w:p w14:paraId="567F826D" w14:textId="77777777" w:rsidR="003519B9" w:rsidRPr="007D7493" w:rsidRDefault="003519B9" w:rsidP="003519B9">
      <w:r w:rsidRPr="001B4530">
        <w:rPr>
          <w:b/>
        </w:rPr>
        <w:t>Observation</w:t>
      </w:r>
      <w:r>
        <w:rPr>
          <w:b/>
        </w:rPr>
        <w:t xml:space="preserve"> 3</w:t>
      </w:r>
      <w:r w:rsidRPr="001B4530">
        <w:rPr>
          <w:b/>
        </w:rPr>
        <w:t xml:space="preserve">: </w:t>
      </w:r>
      <w:r>
        <w:rPr>
          <w:b/>
        </w:rPr>
        <w:t>ANR will be available for NR-U and will help for PCI de-ambiguation.</w:t>
      </w:r>
    </w:p>
    <w:p w14:paraId="10534823" w14:textId="77777777" w:rsidR="003519B9" w:rsidRPr="006E13D1" w:rsidRDefault="003519B9" w:rsidP="003519B9">
      <w:r w:rsidRPr="001B4530">
        <w:rPr>
          <w:b/>
        </w:rPr>
        <w:t xml:space="preserve">Proposal: No new </w:t>
      </w:r>
      <w:r>
        <w:rPr>
          <w:b/>
        </w:rPr>
        <w:t>mechanisms</w:t>
      </w:r>
      <w:r w:rsidRPr="001B4530">
        <w:rPr>
          <w:b/>
        </w:rPr>
        <w:t xml:space="preserve"> for PCI allocation</w:t>
      </w:r>
      <w:r>
        <w:rPr>
          <w:b/>
        </w:rPr>
        <w:t>, PCI collision and confusion</w:t>
      </w:r>
      <w:r w:rsidRPr="001B4530">
        <w:rPr>
          <w:b/>
        </w:rPr>
        <w:t xml:space="preserve"> </w:t>
      </w:r>
      <w:r>
        <w:rPr>
          <w:b/>
        </w:rPr>
        <w:t xml:space="preserve">are specified </w:t>
      </w:r>
      <w:r w:rsidRPr="001B4530">
        <w:rPr>
          <w:b/>
        </w:rPr>
        <w:t xml:space="preserve">for NR-U </w:t>
      </w:r>
      <w:r>
        <w:rPr>
          <w:b/>
        </w:rPr>
        <w:t>in Rel-16</w:t>
      </w:r>
      <w:r>
        <w:t>.</w:t>
      </w:r>
    </w:p>
    <w:p w14:paraId="0FDCFAC2" w14:textId="77777777" w:rsidR="00CD4C7B" w:rsidRPr="006E13D1" w:rsidRDefault="00CD4C7B" w:rsidP="00CD4C7B">
      <w:pPr>
        <w:pStyle w:val="Heading1"/>
      </w:pPr>
      <w:r w:rsidRPr="006E13D1">
        <w:t>References</w:t>
      </w:r>
    </w:p>
    <w:p w14:paraId="217ED859" w14:textId="500B5E12" w:rsidR="00885872" w:rsidRDefault="00885872" w:rsidP="00885872">
      <w:pPr>
        <w:numPr>
          <w:ilvl w:val="0"/>
          <w:numId w:val="4"/>
        </w:numPr>
        <w:overflowPunct w:val="0"/>
        <w:autoSpaceDE w:val="0"/>
        <w:autoSpaceDN w:val="0"/>
        <w:adjustRightInd w:val="0"/>
        <w:textAlignment w:val="baseline"/>
      </w:pPr>
      <w:bookmarkStart w:id="2" w:name="_Ref75086397"/>
      <w:r>
        <w:t>3GPP TS 38.300</w:t>
      </w:r>
      <w:r w:rsidRPr="00885872">
        <w:t xml:space="preserve"> </w:t>
      </w:r>
      <w:r w:rsidRPr="00885872">
        <w:rPr>
          <w:i/>
        </w:rPr>
        <w:t>NR; NR and NG-RAN Overall Description;</w:t>
      </w:r>
    </w:p>
    <w:bookmarkEnd w:id="2"/>
    <w:p w14:paraId="5524F183" w14:textId="77777777" w:rsidR="00CD4C7B" w:rsidRPr="006E13D1" w:rsidRDefault="00CD4C7B" w:rsidP="00CD4C7B"/>
    <w:sectPr w:rsidR="00CD4C7B" w:rsidRPr="006E13D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91D0C" w14:textId="77777777" w:rsidR="00D822ED" w:rsidRDefault="00D822ED">
      <w:r>
        <w:separator/>
      </w:r>
    </w:p>
  </w:endnote>
  <w:endnote w:type="continuationSeparator" w:id="0">
    <w:p w14:paraId="38718942" w14:textId="77777777" w:rsidR="00D822ED" w:rsidRDefault="00D82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F32C6" w14:textId="77777777" w:rsidR="00D822ED" w:rsidRDefault="00D822ED">
      <w:r>
        <w:separator/>
      </w:r>
    </w:p>
  </w:footnote>
  <w:footnote w:type="continuationSeparator" w:id="0">
    <w:p w14:paraId="7E48F698" w14:textId="77777777" w:rsidR="00D822ED" w:rsidRDefault="00D822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2E4DE8"/>
    <w:multiLevelType w:val="hybridMultilevel"/>
    <w:tmpl w:val="EB70A594"/>
    <w:lvl w:ilvl="0" w:tplc="95461D4A">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79F"/>
    <w:rsid w:val="00033397"/>
    <w:rsid w:val="00040095"/>
    <w:rsid w:val="00047C45"/>
    <w:rsid w:val="0006044D"/>
    <w:rsid w:val="00080512"/>
    <w:rsid w:val="0008062E"/>
    <w:rsid w:val="00090468"/>
    <w:rsid w:val="000B5A69"/>
    <w:rsid w:val="000B7BCF"/>
    <w:rsid w:val="000C522B"/>
    <w:rsid w:val="000D58AB"/>
    <w:rsid w:val="00106E98"/>
    <w:rsid w:val="00112F1A"/>
    <w:rsid w:val="001269C5"/>
    <w:rsid w:val="00145075"/>
    <w:rsid w:val="00153035"/>
    <w:rsid w:val="00155CF3"/>
    <w:rsid w:val="001653F4"/>
    <w:rsid w:val="001741A0"/>
    <w:rsid w:val="00175FA0"/>
    <w:rsid w:val="00194CD0"/>
    <w:rsid w:val="001B4530"/>
    <w:rsid w:val="001B49C9"/>
    <w:rsid w:val="001C4F79"/>
    <w:rsid w:val="001F168B"/>
    <w:rsid w:val="001F7831"/>
    <w:rsid w:val="00204045"/>
    <w:rsid w:val="0020712B"/>
    <w:rsid w:val="0022606D"/>
    <w:rsid w:val="00227F5D"/>
    <w:rsid w:val="00231728"/>
    <w:rsid w:val="002610D8"/>
    <w:rsid w:val="002747EC"/>
    <w:rsid w:val="002855BF"/>
    <w:rsid w:val="002F0D22"/>
    <w:rsid w:val="002F2D4C"/>
    <w:rsid w:val="00302AD1"/>
    <w:rsid w:val="003172DC"/>
    <w:rsid w:val="00325AE3"/>
    <w:rsid w:val="00326069"/>
    <w:rsid w:val="003519B9"/>
    <w:rsid w:val="0035462D"/>
    <w:rsid w:val="00364B41"/>
    <w:rsid w:val="003A41EF"/>
    <w:rsid w:val="003B40AD"/>
    <w:rsid w:val="003C4E37"/>
    <w:rsid w:val="003E16BE"/>
    <w:rsid w:val="003E539B"/>
    <w:rsid w:val="003F4E28"/>
    <w:rsid w:val="004006E8"/>
    <w:rsid w:val="00401855"/>
    <w:rsid w:val="004673C9"/>
    <w:rsid w:val="004676B3"/>
    <w:rsid w:val="00477455"/>
    <w:rsid w:val="004864E3"/>
    <w:rsid w:val="004A1F7B"/>
    <w:rsid w:val="004C399B"/>
    <w:rsid w:val="004C44D2"/>
    <w:rsid w:val="004D330B"/>
    <w:rsid w:val="004D3578"/>
    <w:rsid w:val="004D380D"/>
    <w:rsid w:val="004D75D7"/>
    <w:rsid w:val="004E213A"/>
    <w:rsid w:val="00503171"/>
    <w:rsid w:val="00506C28"/>
    <w:rsid w:val="00534DA0"/>
    <w:rsid w:val="00543E6C"/>
    <w:rsid w:val="00565087"/>
    <w:rsid w:val="0056573F"/>
    <w:rsid w:val="00587908"/>
    <w:rsid w:val="005A5CEF"/>
    <w:rsid w:val="005D5BA6"/>
    <w:rsid w:val="00611566"/>
    <w:rsid w:val="00644CAD"/>
    <w:rsid w:val="00646D99"/>
    <w:rsid w:val="00656910"/>
    <w:rsid w:val="00686881"/>
    <w:rsid w:val="006C66D8"/>
    <w:rsid w:val="006D1E24"/>
    <w:rsid w:val="006E1417"/>
    <w:rsid w:val="006F6A2C"/>
    <w:rsid w:val="00710201"/>
    <w:rsid w:val="0071401C"/>
    <w:rsid w:val="007342B5"/>
    <w:rsid w:val="00734A5B"/>
    <w:rsid w:val="00744E76"/>
    <w:rsid w:val="00757D40"/>
    <w:rsid w:val="00781F0F"/>
    <w:rsid w:val="0078727C"/>
    <w:rsid w:val="0079049D"/>
    <w:rsid w:val="007916D2"/>
    <w:rsid w:val="00793DC5"/>
    <w:rsid w:val="007B18D8"/>
    <w:rsid w:val="007C095F"/>
    <w:rsid w:val="007C2DD0"/>
    <w:rsid w:val="007D7493"/>
    <w:rsid w:val="008028A4"/>
    <w:rsid w:val="00806CBA"/>
    <w:rsid w:val="00813245"/>
    <w:rsid w:val="00814214"/>
    <w:rsid w:val="00820F33"/>
    <w:rsid w:val="008768CA"/>
    <w:rsid w:val="00877EF9"/>
    <w:rsid w:val="00880559"/>
    <w:rsid w:val="00885872"/>
    <w:rsid w:val="0089492A"/>
    <w:rsid w:val="008A4145"/>
    <w:rsid w:val="008B5306"/>
    <w:rsid w:val="008D2E4D"/>
    <w:rsid w:val="008F396F"/>
    <w:rsid w:val="0090271F"/>
    <w:rsid w:val="00902DB9"/>
    <w:rsid w:val="0090466A"/>
    <w:rsid w:val="009353A6"/>
    <w:rsid w:val="00936071"/>
    <w:rsid w:val="00940212"/>
    <w:rsid w:val="00942EC2"/>
    <w:rsid w:val="00961B32"/>
    <w:rsid w:val="0096527B"/>
    <w:rsid w:val="00970DB3"/>
    <w:rsid w:val="00974BB0"/>
    <w:rsid w:val="009A0AF3"/>
    <w:rsid w:val="009A63EF"/>
    <w:rsid w:val="009B07CD"/>
    <w:rsid w:val="009C19E9"/>
    <w:rsid w:val="009D74A6"/>
    <w:rsid w:val="00A10F02"/>
    <w:rsid w:val="00A204CA"/>
    <w:rsid w:val="00A53724"/>
    <w:rsid w:val="00A82346"/>
    <w:rsid w:val="00A95436"/>
    <w:rsid w:val="00A9671C"/>
    <w:rsid w:val="00AA1553"/>
    <w:rsid w:val="00AB6C89"/>
    <w:rsid w:val="00AC52AE"/>
    <w:rsid w:val="00B05962"/>
    <w:rsid w:val="00B15449"/>
    <w:rsid w:val="00B27303"/>
    <w:rsid w:val="00B460D9"/>
    <w:rsid w:val="00B47FD1"/>
    <w:rsid w:val="00B516BB"/>
    <w:rsid w:val="00B840A7"/>
    <w:rsid w:val="00BA4BD7"/>
    <w:rsid w:val="00BB0E39"/>
    <w:rsid w:val="00BB3168"/>
    <w:rsid w:val="00BC3555"/>
    <w:rsid w:val="00BE0746"/>
    <w:rsid w:val="00C07A5D"/>
    <w:rsid w:val="00C12B51"/>
    <w:rsid w:val="00C24650"/>
    <w:rsid w:val="00C25465"/>
    <w:rsid w:val="00C33079"/>
    <w:rsid w:val="00C47B99"/>
    <w:rsid w:val="00C55424"/>
    <w:rsid w:val="00C56C04"/>
    <w:rsid w:val="00C83A13"/>
    <w:rsid w:val="00C875D2"/>
    <w:rsid w:val="00C9068C"/>
    <w:rsid w:val="00C92967"/>
    <w:rsid w:val="00CA3D0C"/>
    <w:rsid w:val="00CA654B"/>
    <w:rsid w:val="00CB72B8"/>
    <w:rsid w:val="00CD4C7B"/>
    <w:rsid w:val="00D27605"/>
    <w:rsid w:val="00D33BE3"/>
    <w:rsid w:val="00D3792D"/>
    <w:rsid w:val="00D54765"/>
    <w:rsid w:val="00D55E47"/>
    <w:rsid w:val="00D62E19"/>
    <w:rsid w:val="00D67CD1"/>
    <w:rsid w:val="00D738D6"/>
    <w:rsid w:val="00D80795"/>
    <w:rsid w:val="00D822ED"/>
    <w:rsid w:val="00D854BE"/>
    <w:rsid w:val="00D87E00"/>
    <w:rsid w:val="00D9134D"/>
    <w:rsid w:val="00D96D11"/>
    <w:rsid w:val="00DA7A03"/>
    <w:rsid w:val="00DB0DB8"/>
    <w:rsid w:val="00DB1818"/>
    <w:rsid w:val="00DC309B"/>
    <w:rsid w:val="00DC4DA2"/>
    <w:rsid w:val="00DF7F4B"/>
    <w:rsid w:val="00E21D19"/>
    <w:rsid w:val="00E471CF"/>
    <w:rsid w:val="00E52A97"/>
    <w:rsid w:val="00E62835"/>
    <w:rsid w:val="00E67B8C"/>
    <w:rsid w:val="00E77645"/>
    <w:rsid w:val="00E83697"/>
    <w:rsid w:val="00E953B9"/>
    <w:rsid w:val="00EC4A25"/>
    <w:rsid w:val="00EE6821"/>
    <w:rsid w:val="00F00191"/>
    <w:rsid w:val="00F025A2"/>
    <w:rsid w:val="00F07388"/>
    <w:rsid w:val="00F2026E"/>
    <w:rsid w:val="00F2210A"/>
    <w:rsid w:val="00F37743"/>
    <w:rsid w:val="00F54A3D"/>
    <w:rsid w:val="00F54CB0"/>
    <w:rsid w:val="00F653B8"/>
    <w:rsid w:val="00F71B89"/>
    <w:rsid w:val="00F7353C"/>
    <w:rsid w:val="00F76F8F"/>
    <w:rsid w:val="00F941DF"/>
    <w:rsid w:val="00F955F7"/>
    <w:rsid w:val="00FA1266"/>
    <w:rsid w:val="00FB36FA"/>
    <w:rsid w:val="00FC1192"/>
    <w:rsid w:val="00FD013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C47B99"/>
    <w:pPr>
      <w:ind w:left="720"/>
      <w:contextualSpacing/>
    </w:pPr>
  </w:style>
  <w:style w:type="character" w:styleId="CommentReference">
    <w:name w:val="annotation reference"/>
    <w:basedOn w:val="DefaultParagraphFont"/>
    <w:rsid w:val="001269C5"/>
    <w:rPr>
      <w:sz w:val="16"/>
      <w:szCs w:val="16"/>
    </w:rPr>
  </w:style>
  <w:style w:type="paragraph" w:styleId="CommentText">
    <w:name w:val="annotation text"/>
    <w:basedOn w:val="Normal"/>
    <w:link w:val="CommentTextChar"/>
    <w:rsid w:val="001269C5"/>
  </w:style>
  <w:style w:type="character" w:customStyle="1" w:styleId="CommentTextChar">
    <w:name w:val="Comment Text Char"/>
    <w:basedOn w:val="DefaultParagraphFont"/>
    <w:link w:val="CommentText"/>
    <w:rsid w:val="001269C5"/>
    <w:rPr>
      <w:lang w:eastAsia="en-US"/>
    </w:rPr>
  </w:style>
  <w:style w:type="paragraph" w:styleId="CommentSubject">
    <w:name w:val="annotation subject"/>
    <w:basedOn w:val="CommentText"/>
    <w:next w:val="CommentText"/>
    <w:link w:val="CommentSubjectChar"/>
    <w:rsid w:val="001269C5"/>
    <w:rPr>
      <w:b/>
      <w:bCs/>
    </w:rPr>
  </w:style>
  <w:style w:type="character" w:customStyle="1" w:styleId="CommentSubjectChar">
    <w:name w:val="Comment Subject Char"/>
    <w:basedOn w:val="CommentTextChar"/>
    <w:link w:val="CommentSubject"/>
    <w:rsid w:val="001269C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52992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5AIRPNAIUNRU-859666464-4116</_dlc_DocId>
    <_dlc_DocIdUrl xmlns="71c5aaf6-e6ce-465b-b873-5148d2a4c105">
      <Url>https://nokia.sharepoint.com/sites/c5g/e2earch/_layouts/15/DocIdRedir.aspx?ID=5AIRPNAIUNRU-859666464-4116</Url>
      <Description>5AIRPNAIUNRU-859666464-4116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purl.org/dc/dcmitype/"/>
    <ds:schemaRef ds:uri="http://schemas.microsoft.com/office/2006/documentManagement/types"/>
    <ds:schemaRef ds:uri="3b34c8f0-1ef5-4d1e-bb66-517ce7fe7356"/>
    <ds:schemaRef ds:uri="http://purl.org/dc/elements/1.1/"/>
    <ds:schemaRef ds:uri="83f22d2f-d16e-4be6-ad4f-29fa0b067c3c"/>
    <ds:schemaRef ds:uri="a3840f4f-04be-43d1-b2ef-6ff1382503c7"/>
    <ds:schemaRef ds:uri="http://schemas.microsoft.com/office/infopath/2007/PartnerControls"/>
    <ds:schemaRef ds:uri="http://www.w3.org/XML/1998/namespace"/>
    <ds:schemaRef ds:uri="http://schemas.microsoft.com/office/2006/metadata/properties"/>
    <ds:schemaRef ds:uri="http://schemas.openxmlformats.org/package/2006/metadata/core-properties"/>
    <ds:schemaRef ds:uri="71c5aaf6-e6ce-465b-b873-5148d2a4c105"/>
    <ds:schemaRef ds:uri="http://purl.org/dc/term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EF84B76-0F5C-4B2A-B5A8-E8A4D0339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795</TotalTime>
  <Pages>2</Pages>
  <Words>720</Words>
  <Characters>3420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4132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Nokia(GWO)2</cp:lastModifiedBy>
  <cp:revision>72</cp:revision>
  <dcterms:created xsi:type="dcterms:W3CDTF">2016-08-12T03:53:00Z</dcterms:created>
  <dcterms:modified xsi:type="dcterms:W3CDTF">2018-11-01T18:47:00Z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12fa9934-f2a0-4772-9c1c-25689b610d28</vt:lpwstr>
  </property>
</Properties>
</file>